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8DEC5" w14:textId="5C7CC1C2" w:rsidR="00F419E7" w:rsidRDefault="00C4347E">
      <w:pPr>
        <w:pStyle w:val="Heading1"/>
      </w:pPr>
      <w:r>
        <w:t xml:space="preserve">Topic 2 – </w:t>
      </w:r>
      <w:r w:rsidR="00C920E4">
        <w:t xml:space="preserve">Guidance for </w:t>
      </w:r>
      <w:r w:rsidR="00F419E7">
        <w:t xml:space="preserve">Practical </w:t>
      </w:r>
      <w:r w:rsidR="00BF56B7">
        <w:t>1</w:t>
      </w:r>
      <w:r w:rsidR="00F419E7">
        <w:t xml:space="preserve"> </w:t>
      </w:r>
    </w:p>
    <w:p w14:paraId="52F73043" w14:textId="77777777" w:rsidR="00F419E7" w:rsidRPr="00AC2E34" w:rsidRDefault="00BF56B7" w:rsidP="0019329D">
      <w:pPr>
        <w:pStyle w:val="Heading2"/>
        <w:spacing w:after="120"/>
        <w:rPr>
          <w:i/>
        </w:rPr>
      </w:pPr>
      <w:r>
        <w:rPr>
          <w:i/>
        </w:rPr>
        <w:t>Experimental determination of the acceleration of free fall</w:t>
      </w:r>
    </w:p>
    <w:p w14:paraId="70036E8D" w14:textId="77777777" w:rsidR="002026B6" w:rsidRDefault="002026B6" w:rsidP="006C1B5E">
      <w:pPr>
        <w:pStyle w:val="Heading3"/>
        <w:spacing w:before="240"/>
      </w:pPr>
      <w:bookmarkStart w:id="0" w:name="OLE_LINK1"/>
      <w:bookmarkStart w:id="1" w:name="OLE_LINK2"/>
      <w:r>
        <w:t>Safety</w:t>
      </w:r>
    </w:p>
    <w:p w14:paraId="4EB50CDC"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12BB34A8"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32DFD79D" w14:textId="392210A9"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505F7FEB" w14:textId="77777777" w:rsidR="002746F9" w:rsidRDefault="002746F9" w:rsidP="006C1B5E">
      <w:pPr>
        <w:pStyle w:val="Heading3"/>
        <w:spacing w:before="240"/>
      </w:pPr>
      <w:r>
        <w:t>Guidance</w:t>
      </w:r>
    </w:p>
    <w:p w14:paraId="7ABB4B0F" w14:textId="030874C0" w:rsidR="002746F9" w:rsidRDefault="00A66091" w:rsidP="002746F9">
      <w:r>
        <w:t xml:space="preserve">Students will practice video analysis, estimating and calculating uncertainties, recording measurements in appropriate tables, processing data to </w:t>
      </w:r>
      <w:r w:rsidR="000554F0">
        <w:t xml:space="preserve">linearise </w:t>
      </w:r>
      <w:r>
        <w:t>graphs and using graphical method to determine experimental values.</w:t>
      </w:r>
    </w:p>
    <w:p w14:paraId="7E3B85D7" w14:textId="77777777" w:rsidR="00F3382B" w:rsidRDefault="00F3382B" w:rsidP="002746F9">
      <w:r>
        <w:t>This practical usually takes place at the beginning of the course and most students require a lot of guidance in tabulating data as well as estimating and processing uncertainties.</w:t>
      </w:r>
    </w:p>
    <w:p w14:paraId="4C8A9200" w14:textId="77777777" w:rsidR="00295E4C" w:rsidRDefault="00295E4C" w:rsidP="006C1B5E">
      <w:pPr>
        <w:pStyle w:val="Heading3"/>
        <w:spacing w:before="240"/>
      </w:pPr>
      <w:r>
        <w:t>Apparatus and materials</w:t>
      </w:r>
    </w:p>
    <w:p w14:paraId="7B0FDE71" w14:textId="77777777" w:rsidR="00295E4C" w:rsidRDefault="00C920E4" w:rsidP="00295E4C">
      <w:r>
        <w:t>Each group will need:</w:t>
      </w:r>
    </w:p>
    <w:p w14:paraId="2AD58A17" w14:textId="77777777" w:rsidR="00BF56B7" w:rsidRDefault="000554F0" w:rsidP="00BF56B7">
      <w:pPr>
        <w:pStyle w:val="Liststyle"/>
        <w:numPr>
          <w:ilvl w:val="0"/>
          <w:numId w:val="7"/>
        </w:numPr>
      </w:pPr>
      <w:r>
        <w:t>ball</w:t>
      </w:r>
    </w:p>
    <w:p w14:paraId="5D1F63B4" w14:textId="77777777" w:rsidR="00BF56B7" w:rsidRDefault="000554F0" w:rsidP="00BF56B7">
      <w:pPr>
        <w:pStyle w:val="Liststyle"/>
        <w:numPr>
          <w:ilvl w:val="0"/>
          <w:numId w:val="7"/>
        </w:numPr>
      </w:pPr>
      <w:r>
        <w:t>metre rule (or tape measure)</w:t>
      </w:r>
    </w:p>
    <w:p w14:paraId="1840D7F2" w14:textId="77777777" w:rsidR="00BF56B7" w:rsidRDefault="000554F0" w:rsidP="00BF56B7">
      <w:pPr>
        <w:pStyle w:val="Liststyle"/>
        <w:numPr>
          <w:ilvl w:val="0"/>
          <w:numId w:val="7"/>
        </w:numPr>
      </w:pPr>
      <w:r>
        <w:t>digital camera</w:t>
      </w:r>
    </w:p>
    <w:p w14:paraId="0AA91371" w14:textId="77777777" w:rsidR="00BF56B7" w:rsidRDefault="000554F0" w:rsidP="00BF56B7">
      <w:pPr>
        <w:pStyle w:val="Liststyle"/>
        <w:numPr>
          <w:ilvl w:val="0"/>
          <w:numId w:val="7"/>
        </w:numPr>
      </w:pPr>
      <w:r>
        <w:t>laptop</w:t>
      </w:r>
    </w:p>
    <w:p w14:paraId="135B9631" w14:textId="77777777" w:rsidR="0019329D" w:rsidRDefault="00634041" w:rsidP="006C1B5E">
      <w:pPr>
        <w:pStyle w:val="Heading3"/>
        <w:spacing w:before="240"/>
      </w:pPr>
      <w:r>
        <w:t xml:space="preserve">Setting up </w:t>
      </w:r>
      <w:r w:rsidR="00C920E4">
        <w:t>the practical</w:t>
      </w:r>
    </w:p>
    <w:p w14:paraId="3B9D9BDC" w14:textId="77777777" w:rsidR="00A66091" w:rsidRDefault="00A66091" w:rsidP="00A66091">
      <w:r>
        <w:t xml:space="preserve">If available, an electromagnet and a trap door connected to a switch and timer could be used. </w:t>
      </w:r>
    </w:p>
    <w:p w14:paraId="28711A65" w14:textId="77777777" w:rsidR="00295E4C" w:rsidRDefault="002746F9" w:rsidP="006C1B5E">
      <w:pPr>
        <w:pStyle w:val="Heading3"/>
        <w:spacing w:before="240"/>
      </w:pPr>
      <w:r>
        <w:t>Answers to q</w:t>
      </w:r>
      <w:r w:rsidR="00295E4C">
        <w:t>uestions</w:t>
      </w:r>
    </w:p>
    <w:p w14:paraId="160E5582" w14:textId="6AE5ED6C" w:rsidR="00A66091" w:rsidRDefault="00A66091" w:rsidP="00C4347E">
      <w:pPr>
        <w:numPr>
          <w:ilvl w:val="0"/>
          <w:numId w:val="9"/>
        </w:numPr>
        <w:ind w:left="426" w:hanging="426"/>
      </w:pPr>
      <w:r>
        <w:t>The equipment uncertainty of height measurements is equal to half the smallest division of the metre rule, since it is an analogue instrument.</w:t>
      </w:r>
      <w:r>
        <w:br/>
        <w:t xml:space="preserve">The equipment uncertainty of time measurements is equal to the smallest division of the digital clock on the video reproducing software, since it is digital </w:t>
      </w:r>
      <w:r w:rsidR="00C4347E">
        <w:t xml:space="preserve">a </w:t>
      </w:r>
      <w:r>
        <w:t>measuring instrument.</w:t>
      </w:r>
    </w:p>
    <w:p w14:paraId="3EF31446" w14:textId="77777777" w:rsidR="00A66091" w:rsidRDefault="00A66091" w:rsidP="00C4347E">
      <w:pPr>
        <w:numPr>
          <w:ilvl w:val="0"/>
          <w:numId w:val="9"/>
        </w:numPr>
        <w:ind w:left="426" w:hanging="426"/>
      </w:pPr>
      <w:r>
        <w:t>Shape of ball, resolution of video, estimation of when ball has reached the ground, etc.</w:t>
      </w:r>
    </w:p>
    <w:p w14:paraId="0E5D962D" w14:textId="2AB49D5A" w:rsidR="00A66091" w:rsidRDefault="00A66091" w:rsidP="00C4347E">
      <w:pPr>
        <w:numPr>
          <w:ilvl w:val="0"/>
          <w:numId w:val="9"/>
        </w:numPr>
        <w:ind w:left="426" w:hanging="426"/>
      </w:pPr>
      <w:r>
        <w:t>Students should determine the region (</w:t>
      </w:r>
      <w:r w:rsidRPr="00A517E7">
        <w:rPr>
          <w:i/>
        </w:rPr>
        <w:t>g</w:t>
      </w:r>
      <w:r w:rsidR="000554F0">
        <w:t xml:space="preserve"> </w:t>
      </w:r>
      <w:r w:rsidR="00C4347E">
        <w:t>−</w:t>
      </w:r>
      <w:r w:rsidR="000554F0">
        <w:t xml:space="preserve"> </w:t>
      </w:r>
      <w:r>
        <w:t>δ</w:t>
      </w:r>
      <w:r w:rsidRPr="00A517E7">
        <w:rPr>
          <w:i/>
        </w:rPr>
        <w:t>g</w:t>
      </w:r>
      <w:r>
        <w:t xml:space="preserve">, </w:t>
      </w:r>
      <w:r w:rsidRPr="00A517E7">
        <w:rPr>
          <w:i/>
        </w:rPr>
        <w:t>g</w:t>
      </w:r>
      <w:r w:rsidR="000554F0">
        <w:t xml:space="preserve"> </w:t>
      </w:r>
      <w:r>
        <w:t>+</w:t>
      </w:r>
      <w:r w:rsidR="000554F0">
        <w:t xml:space="preserve"> </w:t>
      </w:r>
      <w:r>
        <w:t>δ</w:t>
      </w:r>
      <w:r w:rsidRPr="00A517E7">
        <w:rPr>
          <w:i/>
        </w:rPr>
        <w:t>g</w:t>
      </w:r>
      <w:r>
        <w:t>), where δ</w:t>
      </w:r>
      <w:r w:rsidRPr="00A517E7">
        <w:rPr>
          <w:i/>
        </w:rPr>
        <w:t>g</w:t>
      </w:r>
      <w:r>
        <w:t xml:space="preserve"> is the uncertainty of </w:t>
      </w:r>
      <w:r w:rsidRPr="00A517E7">
        <w:rPr>
          <w:i/>
        </w:rPr>
        <w:t>g</w:t>
      </w:r>
      <w:r>
        <w:t>, and check whether the theoretical value of 9.81</w:t>
      </w:r>
      <w:r w:rsidR="00C4347E" w:rsidRPr="00C4347E">
        <w:rPr>
          <w:w w:val="33"/>
        </w:rPr>
        <w:t xml:space="preserve"> </w:t>
      </w:r>
      <w:r>
        <w:t>m</w:t>
      </w:r>
      <w:r w:rsidR="000554F0" w:rsidRPr="00C4347E">
        <w:rPr>
          <w:w w:val="33"/>
        </w:rPr>
        <w:t xml:space="preserve"> </w:t>
      </w:r>
      <w:r>
        <w:t>s</w:t>
      </w:r>
      <w:r w:rsidR="00C4347E">
        <w:rPr>
          <w:vertAlign w:val="superscript"/>
        </w:rPr>
        <w:t>−</w:t>
      </w:r>
      <w:r w:rsidRPr="0008352E">
        <w:rPr>
          <w:vertAlign w:val="superscript"/>
        </w:rPr>
        <w:t>2</w:t>
      </w:r>
      <w:r>
        <w:t xml:space="preserve"> falls within this region. If yes, then the experiment agrees with the theory. </w:t>
      </w:r>
    </w:p>
    <w:p w14:paraId="37570089" w14:textId="77777777" w:rsidR="00F3382B" w:rsidRDefault="00F3382B" w:rsidP="00C4347E">
      <w:pPr>
        <w:numPr>
          <w:ilvl w:val="0"/>
          <w:numId w:val="9"/>
        </w:numPr>
        <w:ind w:left="426" w:hanging="426"/>
      </w:pPr>
      <w:r>
        <w:t>Sources of errors might include the angle that the video is captured, the position of the ruler and whether it is vertical, the video resolution, student estimation of the time the ball is released and has touched the ground.</w:t>
      </w:r>
    </w:p>
    <w:p w14:paraId="1FBC467D" w14:textId="77777777" w:rsidR="00F3382B" w:rsidRDefault="00F3382B" w:rsidP="00C4347E">
      <w:pPr>
        <w:numPr>
          <w:ilvl w:val="0"/>
          <w:numId w:val="9"/>
        </w:numPr>
        <w:ind w:left="426" w:hanging="426"/>
      </w:pPr>
      <w:r>
        <w:t>Addressing as many of the above points as possible.</w:t>
      </w:r>
    </w:p>
    <w:p w14:paraId="1E244DE2" w14:textId="77777777" w:rsidR="00020528" w:rsidRDefault="00020528">
      <w:pPr>
        <w:pStyle w:val="Heading1"/>
      </w:pPr>
      <w:r>
        <w:lastRenderedPageBreak/>
        <w:t xml:space="preserve">Topic 2 – Guidance for Practical 2 </w:t>
      </w:r>
    </w:p>
    <w:p w14:paraId="71CC95BD" w14:textId="77777777" w:rsidR="00020528" w:rsidRPr="00324660" w:rsidRDefault="00020528" w:rsidP="003C72F0">
      <w:pPr>
        <w:pStyle w:val="Heading2"/>
        <w:spacing w:after="120"/>
        <w:rPr>
          <w:i/>
        </w:rPr>
      </w:pPr>
      <w:r>
        <w:rPr>
          <w:i/>
        </w:rPr>
        <w:t>Determination of mass using balanced forces</w:t>
      </w:r>
    </w:p>
    <w:p w14:paraId="50996E2B" w14:textId="77777777" w:rsidR="00020528" w:rsidRDefault="00020528" w:rsidP="006C1B5E">
      <w:pPr>
        <w:pStyle w:val="Heading3"/>
        <w:spacing w:before="240"/>
      </w:pPr>
      <w:r>
        <w:t>Safety</w:t>
      </w:r>
    </w:p>
    <w:p w14:paraId="292440DD" w14:textId="77777777" w:rsidR="00020528" w:rsidRDefault="00020528" w:rsidP="002026B6">
      <w:r>
        <w:t>Although great care has been taken in checking the accuracy of the information provided in this guidance, Cambridge University Press shall not be responsible for any errors, omissions or inaccuracies.</w:t>
      </w:r>
    </w:p>
    <w:p w14:paraId="6ED91E92" w14:textId="77777777" w:rsidR="00020528" w:rsidRDefault="00020528"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1A76C166" w14:textId="77777777" w:rsidR="00020528" w:rsidRDefault="00020528" w:rsidP="002026B6">
      <w:r>
        <w:t>You should carry out the practical yourself before presenting it to students. Make sure you are comfortable with the procedures, and can anticipate any difficulties your students may encounter.</w:t>
      </w:r>
    </w:p>
    <w:p w14:paraId="58E6315B" w14:textId="77777777" w:rsidR="00020528" w:rsidRDefault="00020528" w:rsidP="006C1B5E">
      <w:pPr>
        <w:pStyle w:val="Heading3"/>
        <w:spacing w:before="240"/>
      </w:pPr>
      <w:r>
        <w:t>Guidance</w:t>
      </w:r>
    </w:p>
    <w:p w14:paraId="12005EF5" w14:textId="77777777" w:rsidR="00020528" w:rsidRDefault="00020528" w:rsidP="002746F9">
      <w:r>
        <w:t>Students will practice calculations of balanced forces on separate axes and calculating force components.</w:t>
      </w:r>
    </w:p>
    <w:p w14:paraId="334789E3" w14:textId="77777777" w:rsidR="00020528" w:rsidRDefault="00020528" w:rsidP="006C1B5E">
      <w:pPr>
        <w:pStyle w:val="Heading3"/>
        <w:spacing w:before="240"/>
      </w:pPr>
      <w:r>
        <w:t>Apparatus and materials</w:t>
      </w:r>
    </w:p>
    <w:p w14:paraId="5A819BBC" w14:textId="77777777" w:rsidR="00020528" w:rsidRDefault="00020528" w:rsidP="00295E4C">
      <w:r>
        <w:t>Each group will need:</w:t>
      </w:r>
    </w:p>
    <w:p w14:paraId="39406612" w14:textId="77777777" w:rsidR="00020528" w:rsidRDefault="00020528" w:rsidP="00AD6AE3">
      <w:pPr>
        <w:pStyle w:val="Liststyle"/>
        <w:numPr>
          <w:ilvl w:val="0"/>
          <w:numId w:val="7"/>
        </w:numPr>
      </w:pPr>
      <w:r>
        <w:t>two stands and clamps (one tall and one short)</w:t>
      </w:r>
    </w:p>
    <w:p w14:paraId="76989428" w14:textId="77777777" w:rsidR="00020528" w:rsidRDefault="00020528" w:rsidP="00AD6AE3">
      <w:pPr>
        <w:pStyle w:val="Liststyle"/>
        <w:numPr>
          <w:ilvl w:val="0"/>
          <w:numId w:val="7"/>
        </w:numPr>
      </w:pPr>
      <w:r>
        <w:t>free-run pulley wheel with rod</w:t>
      </w:r>
    </w:p>
    <w:p w14:paraId="5678B7A5" w14:textId="77777777" w:rsidR="00020528" w:rsidRDefault="00020528" w:rsidP="00AD6AE3">
      <w:pPr>
        <w:pStyle w:val="Liststyle"/>
        <w:numPr>
          <w:ilvl w:val="0"/>
          <w:numId w:val="7"/>
        </w:numPr>
      </w:pPr>
      <w:r>
        <w:t>strings (one long piece of string and one shorter with a loop at one end)</w:t>
      </w:r>
    </w:p>
    <w:p w14:paraId="702A0B2E" w14:textId="77777777" w:rsidR="00020528" w:rsidRDefault="00020528" w:rsidP="00AD6AE3">
      <w:pPr>
        <w:pStyle w:val="Liststyle"/>
        <w:numPr>
          <w:ilvl w:val="0"/>
          <w:numId w:val="7"/>
        </w:numPr>
      </w:pPr>
      <w:r>
        <w:t>mass hanger (100</w:t>
      </w:r>
      <w:r w:rsidRPr="00C4347E">
        <w:rPr>
          <w:w w:val="33"/>
        </w:rPr>
        <w:t xml:space="preserve"> </w:t>
      </w:r>
      <w:r>
        <w:t>g) and slot masses (several different masses)</w:t>
      </w:r>
    </w:p>
    <w:p w14:paraId="17FBE68A" w14:textId="77777777" w:rsidR="00020528" w:rsidRDefault="00020528" w:rsidP="00AD6AE3">
      <w:pPr>
        <w:pStyle w:val="Liststyle"/>
        <w:numPr>
          <w:ilvl w:val="0"/>
          <w:numId w:val="7"/>
        </w:numPr>
      </w:pPr>
      <w:r>
        <w:t xml:space="preserve">‘unknown’ mass, labelled </w:t>
      </w:r>
      <w:r w:rsidRPr="00410699">
        <w:rPr>
          <w:i/>
        </w:rPr>
        <w:t>X</w:t>
      </w:r>
      <w:r>
        <w:t xml:space="preserve"> </w:t>
      </w:r>
    </w:p>
    <w:p w14:paraId="35C7F527" w14:textId="77777777" w:rsidR="00020528" w:rsidRDefault="00020528" w:rsidP="00AD6AE3">
      <w:pPr>
        <w:pStyle w:val="Liststyle"/>
        <w:numPr>
          <w:ilvl w:val="0"/>
          <w:numId w:val="7"/>
        </w:numPr>
      </w:pPr>
      <w:r>
        <w:t>protractor  (or printout of protractor)</w:t>
      </w:r>
    </w:p>
    <w:p w14:paraId="5314BBC6" w14:textId="77777777" w:rsidR="00020528" w:rsidRDefault="00020528" w:rsidP="00AD6AE3">
      <w:pPr>
        <w:pStyle w:val="Liststyle"/>
        <w:numPr>
          <w:ilvl w:val="0"/>
          <w:numId w:val="7"/>
        </w:numPr>
      </w:pPr>
      <w:r>
        <w:t>top-pan balance</w:t>
      </w:r>
    </w:p>
    <w:p w14:paraId="5D747644" w14:textId="77777777" w:rsidR="00020528" w:rsidRDefault="00020528" w:rsidP="006C1B5E">
      <w:pPr>
        <w:pStyle w:val="Heading3"/>
        <w:spacing w:before="240"/>
      </w:pPr>
      <w:r>
        <w:t>Answers to questions</w:t>
      </w:r>
    </w:p>
    <w:p w14:paraId="57E9F8A7" w14:textId="77777777" w:rsidR="00020528" w:rsidRDefault="00020528" w:rsidP="003C51E3">
      <w:pPr>
        <w:ind w:left="426" w:hanging="426"/>
      </w:pPr>
      <w:r>
        <w:rPr>
          <w:b/>
        </w:rPr>
        <w:t>1</w:t>
      </w:r>
      <w:r>
        <w:tab/>
        <w:t xml:space="preserve">A second angle would have to be measured: the one between the horizontal and the string from point O to the pulley. The </w:t>
      </w:r>
      <w:r w:rsidRPr="00410699">
        <w:rPr>
          <w:i/>
        </w:rPr>
        <w:t>mg</w:t>
      </w:r>
      <w:r>
        <w:t xml:space="preserve"> force would have to be resolved to its </w:t>
      </w:r>
      <w:r w:rsidRPr="00410699">
        <w:rPr>
          <w:i/>
        </w:rPr>
        <w:t>x</w:t>
      </w:r>
      <w:r>
        <w:t xml:space="preserve">- and </w:t>
      </w:r>
      <w:r w:rsidRPr="00410699">
        <w:rPr>
          <w:i/>
        </w:rPr>
        <w:t>y</w:t>
      </w:r>
      <w:r>
        <w:t>-components and new equations for the equilibrium for each axis written.</w:t>
      </w:r>
    </w:p>
    <w:p w14:paraId="45F4F25D" w14:textId="77777777" w:rsidR="00020528" w:rsidRDefault="00020528" w:rsidP="003C51E3">
      <w:pPr>
        <w:ind w:left="426" w:hanging="426"/>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3544"/>
      </w:tblGrid>
      <w:tr w:rsidR="00020528" w14:paraId="2F0A8293" w14:textId="77777777" w:rsidTr="00EC3F9A">
        <w:trPr>
          <w:jc w:val="center"/>
        </w:trPr>
        <w:tc>
          <w:tcPr>
            <w:tcW w:w="4961" w:type="dxa"/>
            <w:tcBorders>
              <w:right w:val="single" w:sz="4" w:space="0" w:color="auto"/>
            </w:tcBorders>
          </w:tcPr>
          <w:p w14:paraId="6102AF80" w14:textId="77777777" w:rsidR="00020528" w:rsidRDefault="00020528" w:rsidP="00410699">
            <w:pPr>
              <w:spacing w:after="240"/>
              <w:rPr>
                <w:color w:val="FF0000"/>
              </w:rPr>
            </w:pPr>
            <w:r w:rsidRPr="00410699">
              <w:rPr>
                <w:i/>
              </w:rPr>
              <w:t>x</w:t>
            </w:r>
            <w:r>
              <w:t xml:space="preserve">-axis:   </w:t>
            </w:r>
            <m:oMath>
              <m:r>
                <w:rPr>
                  <w:rFonts w:ascii="Cambria Math" w:hAnsi="Cambria Math"/>
                </w:rPr>
                <m:t>T</m:t>
              </m:r>
              <m:r>
                <m:rPr>
                  <m:sty m:val="p"/>
                </m:rPr>
                <w:rPr>
                  <w:rFonts w:ascii="Cambria Math" w:hAnsi="Cambria Math"/>
                </w:rPr>
                <m:t>cos</m:t>
              </m:r>
              <m:r>
                <m:rPr>
                  <m:sty m:val="p"/>
                </m:rPr>
                <w:rPr>
                  <w:rFonts w:ascii="Cambria Math" w:hAnsi="Cambria Math"/>
                  <w:w w:val="33"/>
                </w:rPr>
                <m:t xml:space="preserve"> </m:t>
              </m:r>
              <m:r>
                <w:rPr>
                  <w:rFonts w:ascii="Cambria Math" w:hAnsi="Cambria Math"/>
                </w:rPr>
                <m:t>θ=mg</m:t>
              </m:r>
              <m:box>
                <m:boxPr>
                  <m:opEmu m:val="1"/>
                  <m:ctrlPr>
                    <w:rPr>
                      <w:rFonts w:ascii="Cambria Math" w:hAnsi="Cambria Math"/>
                      <w:i/>
                    </w:rPr>
                  </m:ctrlPr>
                </m:boxPr>
                <m:e>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groupChr>
                    <m:groupChrPr>
                      <m:chr m:val="⇒"/>
                      <m:vertJc m:val="bot"/>
                      <m:ctrlPr>
                        <w:rPr>
                          <w:rFonts w:ascii="Cambria Math" w:hAnsi="Cambria Math"/>
                          <w:i/>
                        </w:rPr>
                      </m:ctrlPr>
                    </m:groupChrPr>
                    <m:e/>
                  </m:groupChr>
                </m:e>
              </m:box>
              <m:r>
                <w:rPr>
                  <w:rFonts w:ascii="Cambria Math" w:hAnsi="Cambria Math"/>
                </w:rPr>
                <m:t>T=</m:t>
              </m:r>
              <m:f>
                <m:fPr>
                  <m:ctrlPr>
                    <w:rPr>
                      <w:rFonts w:ascii="Cambria Math" w:hAnsi="Cambria Math"/>
                      <w:i/>
                    </w:rPr>
                  </m:ctrlPr>
                </m:fPr>
                <m:num>
                  <m:r>
                    <w:rPr>
                      <w:rFonts w:ascii="Cambria Math" w:hAnsi="Cambria Math"/>
                    </w:rPr>
                    <m:t>mg</m:t>
                  </m:r>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num>
                <m:den>
                  <m:r>
                    <m:rPr>
                      <m:sty m:val="p"/>
                    </m:rPr>
                    <w:rPr>
                      <w:rFonts w:ascii="Cambria Math" w:hAnsi="Cambria Math"/>
                    </w:rPr>
                    <m:t>cos</m:t>
                  </m:r>
                  <m:r>
                    <m:rPr>
                      <m:sty m:val="p"/>
                    </m:rPr>
                    <w:rPr>
                      <w:rFonts w:ascii="Cambria Math" w:hAnsi="Cambria Math"/>
                      <w:w w:val="33"/>
                    </w:rPr>
                    <m:t xml:space="preserve"> </m:t>
                  </m:r>
                  <m:r>
                    <w:rPr>
                      <w:rFonts w:ascii="Cambria Math" w:hAnsi="Cambria Math"/>
                    </w:rPr>
                    <m:t>θ</m:t>
                  </m:r>
                </m:den>
              </m:f>
            </m:oMath>
          </w:p>
        </w:tc>
        <w:tc>
          <w:tcPr>
            <w:tcW w:w="3544" w:type="dxa"/>
            <w:vMerge w:val="restart"/>
            <w:tcBorders>
              <w:left w:val="single" w:sz="4" w:space="0" w:color="auto"/>
            </w:tcBorders>
            <w:vAlign w:val="center"/>
          </w:tcPr>
          <w:p w14:paraId="3F13B9E9" w14:textId="77777777" w:rsidR="00020528" w:rsidRPr="00AD6AE3" w:rsidRDefault="000407CA" w:rsidP="0044024F">
            <m:oMathPara>
              <m:oMathParaPr>
                <m:jc m:val="left"/>
              </m:oMathParaPr>
              <m:oMath>
                <m:box>
                  <m:boxPr>
                    <m:opEmu m:val="1"/>
                    <m:ctrlPr>
                      <w:rPr>
                        <w:rFonts w:ascii="Cambria Math" w:hAnsi="Cambria Math"/>
                        <w:i/>
                      </w:rPr>
                    </m:ctrlPr>
                  </m:boxPr>
                  <m:e>
                    <m:groupChr>
                      <m:groupChrPr>
                        <m:chr m:val="⇒"/>
                        <m:pos m:val="top"/>
                        <m:ctrlPr>
                          <w:rPr>
                            <w:rFonts w:ascii="Cambria Math" w:hAnsi="Cambria Math"/>
                            <w:i/>
                          </w:rPr>
                        </m:ctrlPr>
                      </m:groupChrPr>
                      <m:e/>
                    </m:groupChr>
                  </m:e>
                </m:box>
                <m:r>
                  <w:rPr>
                    <w:rFonts w:ascii="Cambria Math" w:hAnsi="Cambria Math"/>
                  </w:rPr>
                  <m:t>X=</m:t>
                </m:r>
                <m:f>
                  <m:fPr>
                    <m:ctrlPr>
                      <w:rPr>
                        <w:rFonts w:ascii="Cambria Math" w:hAnsi="Cambria Math"/>
                        <w:i/>
                      </w:rPr>
                    </m:ctrlPr>
                  </m:fPr>
                  <m:num>
                    <m:r>
                      <w:rPr>
                        <w:rFonts w:ascii="Cambria Math" w:hAnsi="Cambria Math"/>
                      </w:rPr>
                      <m:t>mg</m:t>
                    </m:r>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r>
                      <m:rPr>
                        <m:sty m:val="p"/>
                      </m:rPr>
                      <w:rPr>
                        <w:rFonts w:ascii="Cambria Math" w:hAnsi="Cambria Math"/>
                      </w:rPr>
                      <m:t>sin</m:t>
                    </m:r>
                    <m:r>
                      <m:rPr>
                        <m:sty m:val="p"/>
                      </m:rPr>
                      <w:rPr>
                        <w:rFonts w:ascii="Cambria Math" w:hAnsi="Cambria Math"/>
                        <w:w w:val="33"/>
                      </w:rPr>
                      <m:t xml:space="preserve"> </m:t>
                    </m:r>
                    <m:r>
                      <w:rPr>
                        <w:rFonts w:ascii="Cambria Math" w:hAnsi="Cambria Math"/>
                      </w:rPr>
                      <m:t>θ</m:t>
                    </m:r>
                  </m:num>
                  <m:den>
                    <m:r>
                      <w:rPr>
                        <w:rFonts w:ascii="Cambria Math" w:hAnsi="Cambria Math"/>
                      </w:rPr>
                      <m:t>g</m:t>
                    </m:r>
                    <m:func>
                      <m:funcPr>
                        <m:ctrlPr>
                          <w:rPr>
                            <w:rFonts w:ascii="Cambria Math" w:hAnsi="Cambria Math"/>
                            <w:i/>
                          </w:rPr>
                        </m:ctrlPr>
                      </m:funcPr>
                      <m:fName>
                        <m:r>
                          <m:rPr>
                            <m:sty m:val="p"/>
                          </m:rPr>
                          <w:rPr>
                            <w:rFonts w:ascii="Cambria Math" w:hAnsi="Cambria Math"/>
                          </w:rPr>
                          <m:t>sin</m:t>
                        </m:r>
                      </m:fName>
                      <m:e>
                        <m:r>
                          <w:rPr>
                            <w:rFonts w:ascii="Cambria Math" w:hAnsi="Cambria Math"/>
                          </w:rPr>
                          <m:t>φ</m:t>
                        </m:r>
                      </m:e>
                    </m:func>
                    <m:r>
                      <m:rPr>
                        <m:sty m:val="p"/>
                      </m:rPr>
                      <w:rPr>
                        <w:rFonts w:ascii="Cambria Math" w:hAnsi="Cambria Math"/>
                      </w:rPr>
                      <m:t>cos</m:t>
                    </m:r>
                    <m:r>
                      <m:rPr>
                        <m:sty m:val="p"/>
                      </m:rPr>
                      <w:rPr>
                        <w:rFonts w:ascii="Cambria Math" w:hAnsi="Cambria Math"/>
                        <w:w w:val="33"/>
                      </w:rPr>
                      <m:t xml:space="preserve"> </m:t>
                    </m:r>
                    <m:r>
                      <w:rPr>
                        <w:rFonts w:ascii="Cambria Math" w:hAnsi="Cambria Math"/>
                      </w:rPr>
                      <m:t>θ</m:t>
                    </m:r>
                  </m:den>
                </m:f>
              </m:oMath>
            </m:oMathPara>
          </w:p>
          <w:p w14:paraId="72CFF582" w14:textId="77777777" w:rsidR="00020528" w:rsidRPr="00DC629D" w:rsidRDefault="00020528">
            <w:r>
              <w:t xml:space="preserve">         </w:t>
            </w:r>
            <m:oMath>
              <m:r>
                <w:rPr>
                  <w:rFonts w:ascii="Cambria Math" w:hAnsi="Cambria Math"/>
                </w:rPr>
                <m:t>=m</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tan</m:t>
                      </m:r>
                    </m:fName>
                    <m:e>
                      <m:r>
                        <w:rPr>
                          <w:rFonts w:ascii="Cambria Math" w:hAnsi="Cambria Math"/>
                        </w:rPr>
                        <m:t>θ</m:t>
                      </m:r>
                    </m:e>
                  </m:func>
                </m:num>
                <m:den>
                  <m:func>
                    <m:funcPr>
                      <m:ctrlPr>
                        <w:rPr>
                          <w:rFonts w:ascii="Cambria Math" w:hAnsi="Cambria Math"/>
                          <w:i/>
                        </w:rPr>
                      </m:ctrlPr>
                    </m:funcPr>
                    <m:fName>
                      <m:r>
                        <m:rPr>
                          <m:sty m:val="p"/>
                        </m:rPr>
                        <w:rPr>
                          <w:rFonts w:ascii="Cambria Math" w:hAnsi="Cambria Math"/>
                        </w:rPr>
                        <m:t>tan</m:t>
                      </m:r>
                    </m:fName>
                    <m:e>
                      <m:r>
                        <w:rPr>
                          <w:rFonts w:ascii="Cambria Math" w:hAnsi="Cambria Math"/>
                        </w:rPr>
                        <m:t>φ</m:t>
                      </m:r>
                    </m:e>
                  </m:func>
                </m:den>
              </m:f>
            </m:oMath>
          </w:p>
        </w:tc>
      </w:tr>
      <w:tr w:rsidR="00020528" w14:paraId="25F9B445" w14:textId="77777777" w:rsidTr="00EC3F9A">
        <w:trPr>
          <w:jc w:val="center"/>
        </w:trPr>
        <w:tc>
          <w:tcPr>
            <w:tcW w:w="4961" w:type="dxa"/>
            <w:tcBorders>
              <w:right w:val="single" w:sz="4" w:space="0" w:color="auto"/>
            </w:tcBorders>
          </w:tcPr>
          <w:p w14:paraId="41400F1A" w14:textId="77777777" w:rsidR="00020528" w:rsidRDefault="00020528">
            <w:r w:rsidRPr="00410699">
              <w:rPr>
                <w:i/>
              </w:rPr>
              <w:t>y</w:t>
            </w:r>
            <w:r>
              <w:t xml:space="preserve">-axis:    </w:t>
            </w:r>
            <m:oMath>
              <m:r>
                <w:rPr>
                  <w:rFonts w:ascii="Cambria Math" w:hAnsi="Cambria Math"/>
                </w:rPr>
                <m:t>T</m:t>
              </m:r>
              <m:r>
                <m:rPr>
                  <m:sty m:val="p"/>
                </m:rPr>
                <w:rPr>
                  <w:rFonts w:ascii="Cambria Math" w:hAnsi="Cambria Math"/>
                </w:rPr>
                <m:t>sin</m:t>
              </m:r>
              <m:r>
                <m:rPr>
                  <m:sty m:val="p"/>
                </m:rPr>
                <w:rPr>
                  <w:rFonts w:ascii="Cambria Math" w:hAnsi="Cambria Math"/>
                  <w:w w:val="33"/>
                </w:rPr>
                <m:t xml:space="preserve"> </m:t>
              </m:r>
              <m:r>
                <w:rPr>
                  <w:rFonts w:ascii="Cambria Math" w:hAnsi="Cambria Math"/>
                </w:rPr>
                <m:t>θ=Xg</m:t>
              </m:r>
              <m:box>
                <m:boxPr>
                  <m:opEmu m:val="1"/>
                  <m:ctrlPr>
                    <w:rPr>
                      <w:rFonts w:ascii="Cambria Math" w:hAnsi="Cambria Math"/>
                      <w:i/>
                    </w:rPr>
                  </m:ctrlPr>
                </m:boxPr>
                <m:e>
                  <m:func>
                    <m:funcPr>
                      <m:ctrlPr>
                        <w:rPr>
                          <w:rFonts w:ascii="Cambria Math" w:hAnsi="Cambria Math"/>
                          <w:i/>
                        </w:rPr>
                      </m:ctrlPr>
                    </m:funcPr>
                    <m:fName>
                      <m:r>
                        <m:rPr>
                          <m:sty m:val="p"/>
                        </m:rPr>
                        <w:rPr>
                          <w:rFonts w:ascii="Cambria Math" w:hAnsi="Cambria Math"/>
                        </w:rPr>
                        <m:t>sin</m:t>
                      </m:r>
                    </m:fName>
                    <m:e>
                      <m:r>
                        <w:rPr>
                          <w:rFonts w:ascii="Cambria Math" w:hAnsi="Cambria Math"/>
                        </w:rPr>
                        <m:t>φ</m:t>
                      </m:r>
                    </m:e>
                  </m:func>
                  <m:groupChr>
                    <m:groupChrPr>
                      <m:chr m:val="⇒"/>
                      <m:vertJc m:val="bot"/>
                      <m:ctrlPr>
                        <w:rPr>
                          <w:rFonts w:ascii="Cambria Math" w:hAnsi="Cambria Math"/>
                          <w:i/>
                        </w:rPr>
                      </m:ctrlPr>
                    </m:groupChrPr>
                    <m:e/>
                  </m:groupChr>
                </m:e>
              </m:box>
              <m:r>
                <w:rPr>
                  <w:rFonts w:ascii="Cambria Math" w:hAnsi="Cambria Math"/>
                </w:rPr>
                <m:t>X=</m:t>
              </m:r>
              <m:f>
                <m:fPr>
                  <m:ctrlPr>
                    <w:rPr>
                      <w:rFonts w:ascii="Cambria Math" w:hAnsi="Cambria Math"/>
                      <w:i/>
                    </w:rPr>
                  </m:ctrlPr>
                </m:fPr>
                <m:num>
                  <m:r>
                    <w:rPr>
                      <w:rFonts w:ascii="Cambria Math" w:hAnsi="Cambria Math"/>
                    </w:rPr>
                    <m:t>T</m:t>
                  </m:r>
                  <m:r>
                    <m:rPr>
                      <m:sty m:val="p"/>
                    </m:rPr>
                    <w:rPr>
                      <w:rFonts w:ascii="Cambria Math" w:hAnsi="Cambria Math"/>
                    </w:rPr>
                    <m:t>sin</m:t>
                  </m:r>
                  <m:r>
                    <m:rPr>
                      <m:sty m:val="p"/>
                    </m:rPr>
                    <w:rPr>
                      <w:rFonts w:ascii="Cambria Math" w:hAnsi="Cambria Math"/>
                      <w:w w:val="33"/>
                    </w:rPr>
                    <m:t xml:space="preserve"> </m:t>
                  </m:r>
                  <m:r>
                    <w:rPr>
                      <w:rFonts w:ascii="Cambria Math" w:hAnsi="Cambria Math"/>
                    </w:rPr>
                    <m:t>θ</m:t>
                  </m:r>
                </m:num>
                <m:den>
                  <m:r>
                    <w:rPr>
                      <w:rFonts w:ascii="Cambria Math" w:hAnsi="Cambria Math"/>
                    </w:rPr>
                    <m:t>g</m:t>
                  </m:r>
                  <m:func>
                    <m:funcPr>
                      <m:ctrlPr>
                        <w:rPr>
                          <w:rFonts w:ascii="Cambria Math" w:hAnsi="Cambria Math"/>
                          <w:i/>
                        </w:rPr>
                      </m:ctrlPr>
                    </m:funcPr>
                    <m:fName>
                      <m:r>
                        <m:rPr>
                          <m:sty m:val="p"/>
                        </m:rPr>
                        <w:rPr>
                          <w:rFonts w:ascii="Cambria Math" w:hAnsi="Cambria Math"/>
                        </w:rPr>
                        <m:t>sin</m:t>
                      </m:r>
                    </m:fName>
                    <m:e>
                      <m:r>
                        <w:rPr>
                          <w:rFonts w:ascii="Cambria Math" w:hAnsi="Cambria Math"/>
                        </w:rPr>
                        <m:t>φ</m:t>
                      </m:r>
                    </m:e>
                  </m:func>
                </m:den>
              </m:f>
            </m:oMath>
          </w:p>
        </w:tc>
        <w:tc>
          <w:tcPr>
            <w:tcW w:w="3544" w:type="dxa"/>
            <w:vMerge/>
            <w:tcBorders>
              <w:left w:val="single" w:sz="4" w:space="0" w:color="auto"/>
            </w:tcBorders>
          </w:tcPr>
          <w:p w14:paraId="51904025" w14:textId="77777777" w:rsidR="00020528" w:rsidRDefault="00020528" w:rsidP="0044024F"/>
        </w:tc>
      </w:tr>
    </w:tbl>
    <w:p w14:paraId="778572F6" w14:textId="77777777" w:rsidR="00020528" w:rsidRDefault="00020528" w:rsidP="00AD6AE3"/>
    <w:p w14:paraId="55983489" w14:textId="77777777" w:rsidR="00020528" w:rsidRDefault="00020528">
      <w:pPr>
        <w:spacing w:after="0"/>
      </w:pPr>
      <w:r>
        <w:br w:type="page"/>
      </w:r>
    </w:p>
    <w:p w14:paraId="4B245EA2" w14:textId="77777777" w:rsidR="00020528" w:rsidRPr="00410699" w:rsidRDefault="00020528" w:rsidP="00AD6AE3">
      <w:pPr>
        <w:rPr>
          <w:b/>
        </w:rPr>
      </w:pPr>
      <w:r w:rsidRPr="00410699">
        <w:rPr>
          <w:b/>
        </w:rPr>
        <w:lastRenderedPageBreak/>
        <w:t>2</w:t>
      </w:r>
    </w:p>
    <w:p w14:paraId="4D4F5826" w14:textId="77777777" w:rsidR="00020528" w:rsidRDefault="00020528" w:rsidP="00A66091">
      <w:r>
        <w:rPr>
          <w:noProof/>
          <w:lang w:eastAsia="en-GB"/>
        </w:rPr>
        <w:drawing>
          <wp:inline distT="0" distB="0" distL="0" distR="0" wp14:anchorId="1D815C14" wp14:editId="06B6263D">
            <wp:extent cx="1078992" cy="1590923"/>
            <wp:effectExtent l="0" t="0" r="698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02-01.jpg"/>
                    <pic:cNvPicPr/>
                  </pic:nvPicPr>
                  <pic:blipFill>
                    <a:blip r:embed="rId8">
                      <a:extLst>
                        <a:ext uri="{28A0092B-C50C-407E-A947-70E740481C1C}">
                          <a14:useLocalDpi xmlns:a14="http://schemas.microsoft.com/office/drawing/2010/main" val="0"/>
                        </a:ext>
                      </a:extLst>
                    </a:blip>
                    <a:stretch>
                      <a:fillRect/>
                    </a:stretch>
                  </pic:blipFill>
                  <pic:spPr>
                    <a:xfrm>
                      <a:off x="0" y="0"/>
                      <a:ext cx="1078992" cy="1590923"/>
                    </a:xfrm>
                    <a:prstGeom prst="rect">
                      <a:avLst/>
                    </a:prstGeom>
                  </pic:spPr>
                </pic:pic>
              </a:graphicData>
            </a:graphic>
          </wp:inline>
        </w:drawing>
      </w:r>
    </w:p>
    <w:p w14:paraId="77F587D6" w14:textId="77777777" w:rsidR="00020528" w:rsidRDefault="00020528" w:rsidP="00A66091"/>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544"/>
      </w:tblGrid>
      <w:tr w:rsidR="00020528" w14:paraId="7282412D" w14:textId="77777777" w:rsidTr="00D26F4B">
        <w:trPr>
          <w:jc w:val="center"/>
        </w:trPr>
        <w:tc>
          <w:tcPr>
            <w:tcW w:w="3969" w:type="dxa"/>
            <w:tcBorders>
              <w:right w:val="single" w:sz="4" w:space="0" w:color="auto"/>
            </w:tcBorders>
          </w:tcPr>
          <w:p w14:paraId="21691B60" w14:textId="77777777" w:rsidR="00020528" w:rsidRDefault="00020528" w:rsidP="00D26F4B">
            <w:pPr>
              <w:spacing w:after="240"/>
            </w:pPr>
            <w:r w:rsidRPr="00410699">
              <w:rPr>
                <w:i/>
              </w:rPr>
              <w:t>x</w:t>
            </w:r>
            <w:r>
              <w:t xml:space="preserve">-axis:   </w:t>
            </w:r>
            <m:oMath>
              <m:r>
                <w:rPr>
                  <w:rFonts w:ascii="Cambria Math" w:hAnsi="Cambria Math"/>
                </w:rPr>
                <m:t>T</m:t>
              </m:r>
              <m:r>
                <m:rPr>
                  <m:sty m:val="p"/>
                </m:rPr>
                <w:rPr>
                  <w:rFonts w:ascii="Cambria Math" w:hAnsi="Cambria Math"/>
                </w:rPr>
                <m:t>sin</m:t>
              </m:r>
              <m:r>
                <m:rPr>
                  <m:sty m:val="p"/>
                </m:rPr>
                <w:rPr>
                  <w:rFonts w:ascii="Cambria Math" w:hAnsi="Cambria Math"/>
                  <w:w w:val="33"/>
                </w:rPr>
                <m:t xml:space="preserve"> </m:t>
              </m:r>
              <m:r>
                <w:rPr>
                  <w:rFonts w:ascii="Cambria Math" w:hAnsi="Cambria Math"/>
                </w:rPr>
                <m:t>θ=F</m:t>
              </m:r>
            </m:oMath>
          </w:p>
        </w:tc>
        <w:tc>
          <w:tcPr>
            <w:tcW w:w="3544" w:type="dxa"/>
            <w:vMerge w:val="restart"/>
            <w:tcBorders>
              <w:left w:val="single" w:sz="4" w:space="0" w:color="auto"/>
            </w:tcBorders>
            <w:vAlign w:val="center"/>
          </w:tcPr>
          <w:p w14:paraId="584BE44D" w14:textId="77777777" w:rsidR="00020528" w:rsidRPr="00DC629D" w:rsidRDefault="000407CA">
            <m:oMathPara>
              <m:oMath>
                <m:box>
                  <m:boxPr>
                    <m:opEmu m:val="1"/>
                    <m:ctrlPr>
                      <w:rPr>
                        <w:rFonts w:ascii="Cambria Math" w:hAnsi="Cambria Math"/>
                        <w:i/>
                      </w:rPr>
                    </m:ctrlPr>
                  </m:boxPr>
                  <m:e>
                    <m:groupChr>
                      <m:groupChrPr>
                        <m:chr m:val="⇒"/>
                        <m:pos m:val="top"/>
                        <m:ctrlPr>
                          <w:rPr>
                            <w:rFonts w:ascii="Cambria Math" w:hAnsi="Cambria Math"/>
                            <w:i/>
                          </w:rPr>
                        </m:ctrlPr>
                      </m:groupChrPr>
                      <m:e/>
                    </m:groupChr>
                  </m:e>
                </m:box>
                <m:r>
                  <w:rPr>
                    <w:rFonts w:ascii="Cambria Math" w:hAnsi="Cambria Math"/>
                  </w:rPr>
                  <m:t>F=</m:t>
                </m:r>
                <m:f>
                  <m:fPr>
                    <m:ctrlPr>
                      <w:rPr>
                        <w:rFonts w:ascii="Cambria Math" w:hAnsi="Cambria Math"/>
                        <w:i/>
                      </w:rPr>
                    </m:ctrlPr>
                  </m:fPr>
                  <m:num>
                    <m:r>
                      <w:rPr>
                        <w:rFonts w:ascii="Cambria Math" w:hAnsi="Cambria Math"/>
                      </w:rPr>
                      <m:t>mg</m:t>
                    </m:r>
                    <m:r>
                      <m:rPr>
                        <m:sty m:val="p"/>
                      </m:rPr>
                      <w:rPr>
                        <w:rFonts w:ascii="Cambria Math" w:hAnsi="Cambria Math"/>
                      </w:rPr>
                      <m:t>sin</m:t>
                    </m:r>
                    <m:r>
                      <m:rPr>
                        <m:sty m:val="p"/>
                      </m:rPr>
                      <w:rPr>
                        <w:rFonts w:ascii="Cambria Math" w:hAnsi="Cambria Math"/>
                        <w:w w:val="33"/>
                      </w:rPr>
                      <m:t xml:space="preserve"> </m:t>
                    </m:r>
                    <m:r>
                      <w:rPr>
                        <w:rFonts w:ascii="Cambria Math" w:hAnsi="Cambria Math"/>
                      </w:rPr>
                      <m:t>θ</m:t>
                    </m:r>
                  </m:num>
                  <m:den>
                    <m:r>
                      <m:rPr>
                        <m:sty m:val="p"/>
                      </m:rPr>
                      <w:rPr>
                        <w:rFonts w:ascii="Cambria Math" w:hAnsi="Cambria Math"/>
                      </w:rPr>
                      <m:t>cos</m:t>
                    </m:r>
                    <m:r>
                      <m:rPr>
                        <m:sty m:val="p"/>
                      </m:rPr>
                      <w:rPr>
                        <w:rFonts w:ascii="Cambria Math" w:hAnsi="Cambria Math"/>
                        <w:w w:val="33"/>
                      </w:rPr>
                      <m:t xml:space="preserve"> </m:t>
                    </m:r>
                    <m:r>
                      <w:rPr>
                        <w:rFonts w:ascii="Cambria Math" w:hAnsi="Cambria Math"/>
                      </w:rPr>
                      <m:t>θ</m:t>
                    </m:r>
                  </m:den>
                </m:f>
                <m:r>
                  <w:rPr>
                    <w:rFonts w:ascii="Cambria Math" w:hAnsi="Cambria Math"/>
                  </w:rPr>
                  <m:t>=mg</m:t>
                </m:r>
                <m:r>
                  <m:rPr>
                    <m:sty m:val="p"/>
                  </m:rPr>
                  <w:rPr>
                    <w:rFonts w:ascii="Cambria Math" w:hAnsi="Cambria Math"/>
                  </w:rPr>
                  <m:t>tan</m:t>
                </m:r>
                <m:r>
                  <m:rPr>
                    <m:sty m:val="p"/>
                  </m:rPr>
                  <w:rPr>
                    <w:rFonts w:ascii="Cambria Math" w:hAnsi="Cambria Math"/>
                    <w:w w:val="33"/>
                  </w:rPr>
                  <m:t xml:space="preserve"> </m:t>
                </m:r>
                <m:r>
                  <w:rPr>
                    <w:rFonts w:ascii="Cambria Math" w:hAnsi="Cambria Math"/>
                  </w:rPr>
                  <m:t>θ</m:t>
                </m:r>
              </m:oMath>
            </m:oMathPara>
          </w:p>
        </w:tc>
      </w:tr>
      <w:tr w:rsidR="00020528" w14:paraId="2B08DBE1" w14:textId="77777777" w:rsidTr="00D26F4B">
        <w:trPr>
          <w:jc w:val="center"/>
        </w:trPr>
        <w:tc>
          <w:tcPr>
            <w:tcW w:w="3969" w:type="dxa"/>
            <w:tcBorders>
              <w:right w:val="single" w:sz="4" w:space="0" w:color="auto"/>
            </w:tcBorders>
          </w:tcPr>
          <w:p w14:paraId="0A0B4812" w14:textId="77777777" w:rsidR="00020528" w:rsidRDefault="00020528" w:rsidP="00D26F4B">
            <w:r w:rsidRPr="00410699">
              <w:rPr>
                <w:i/>
              </w:rPr>
              <w:t>y</w:t>
            </w:r>
            <w:r>
              <w:t xml:space="preserve">-axis:    </w:t>
            </w:r>
            <m:oMath>
              <m:r>
                <w:rPr>
                  <w:rFonts w:ascii="Cambria Math" w:hAnsi="Cambria Math"/>
                </w:rPr>
                <m:t>T</m:t>
              </m:r>
              <m:r>
                <m:rPr>
                  <m:sty m:val="p"/>
                </m:rPr>
                <w:rPr>
                  <w:rFonts w:ascii="Cambria Math" w:hAnsi="Cambria Math"/>
                </w:rPr>
                <m:t>cos</m:t>
              </m:r>
              <m:r>
                <m:rPr>
                  <m:sty m:val="p"/>
                </m:rPr>
                <w:rPr>
                  <w:rFonts w:ascii="Cambria Math" w:hAnsi="Cambria Math"/>
                  <w:w w:val="33"/>
                </w:rPr>
                <m:t xml:space="preserve"> </m:t>
              </m:r>
              <m:r>
                <w:rPr>
                  <w:rFonts w:ascii="Cambria Math" w:hAnsi="Cambria Math"/>
                </w:rPr>
                <m:t>θ=mg</m:t>
              </m:r>
              <m:box>
                <m:boxPr>
                  <m:opEmu m:val="1"/>
                  <m:ctrlPr>
                    <w:rPr>
                      <w:rFonts w:ascii="Cambria Math" w:hAnsi="Cambria Math"/>
                      <w:i/>
                    </w:rPr>
                  </m:ctrlPr>
                </m:boxPr>
                <m:e>
                  <m:groupChr>
                    <m:groupChrPr>
                      <m:chr m:val="⇒"/>
                      <m:vertJc m:val="bot"/>
                      <m:ctrlPr>
                        <w:rPr>
                          <w:rFonts w:ascii="Cambria Math" w:hAnsi="Cambria Math"/>
                          <w:i/>
                        </w:rPr>
                      </m:ctrlPr>
                    </m:groupChrPr>
                    <m:e/>
                  </m:groupChr>
                </m:e>
              </m:box>
              <m:r>
                <w:rPr>
                  <w:rFonts w:ascii="Cambria Math" w:hAnsi="Cambria Math"/>
                </w:rPr>
                <m:t>T=</m:t>
              </m:r>
              <m:f>
                <m:fPr>
                  <m:ctrlPr>
                    <w:rPr>
                      <w:rFonts w:ascii="Cambria Math" w:hAnsi="Cambria Math"/>
                      <w:i/>
                    </w:rPr>
                  </m:ctrlPr>
                </m:fPr>
                <m:num>
                  <m:r>
                    <w:rPr>
                      <w:rFonts w:ascii="Cambria Math" w:hAnsi="Cambria Math"/>
                    </w:rPr>
                    <m:t>mg</m:t>
                  </m:r>
                </m:num>
                <m:den>
                  <m:r>
                    <m:rPr>
                      <m:sty m:val="p"/>
                    </m:rPr>
                    <w:rPr>
                      <w:rFonts w:ascii="Cambria Math" w:hAnsi="Cambria Math"/>
                    </w:rPr>
                    <m:t>cos</m:t>
                  </m:r>
                  <m:r>
                    <w:rPr>
                      <w:rFonts w:ascii="Cambria Math" w:hAnsi="Cambria Math"/>
                    </w:rPr>
                    <m:t>θ</m:t>
                  </m:r>
                </m:den>
              </m:f>
            </m:oMath>
          </w:p>
        </w:tc>
        <w:tc>
          <w:tcPr>
            <w:tcW w:w="3544" w:type="dxa"/>
            <w:vMerge/>
            <w:tcBorders>
              <w:left w:val="single" w:sz="4" w:space="0" w:color="auto"/>
            </w:tcBorders>
          </w:tcPr>
          <w:p w14:paraId="6DD8A397" w14:textId="77777777" w:rsidR="00020528" w:rsidRDefault="00020528" w:rsidP="00C67327"/>
        </w:tc>
      </w:tr>
    </w:tbl>
    <w:p w14:paraId="0DE82287" w14:textId="77777777" w:rsidR="00020528" w:rsidRPr="00295E4C" w:rsidRDefault="00020528" w:rsidP="00A66091"/>
    <w:p w14:paraId="21EF09AD" w14:textId="77777777" w:rsidR="00020528" w:rsidRDefault="00020528" w:rsidP="00020528"/>
    <w:sectPr w:rsidR="00020528">
      <w:headerReference w:type="even" r:id="rId9"/>
      <w:headerReference w:type="default" r:id="rId10"/>
      <w:footerReference w:type="even" r:id="rId11"/>
      <w:footerReference w:type="default" r:id="rId12"/>
      <w:headerReference w:type="first" r:id="rId13"/>
      <w:footerReference w:type="first" r:id="rId14"/>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B63FE" w14:textId="77777777" w:rsidR="009B311E" w:rsidRDefault="009B311E">
      <w:r>
        <w:separator/>
      </w:r>
    </w:p>
  </w:endnote>
  <w:endnote w:type="continuationSeparator" w:id="0">
    <w:p w14:paraId="4C0BEB3B" w14:textId="77777777" w:rsidR="009B311E" w:rsidRDefault="009B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B3B29" w14:textId="77777777" w:rsidR="000407CA" w:rsidRDefault="000407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24620" w14:textId="0D2AECEA" w:rsidR="00CF1450" w:rsidRDefault="0017633B">
    <w:pPr>
      <w:pStyle w:val="Footer"/>
      <w:pBdr>
        <w:top w:val="single" w:sz="4" w:space="1" w:color="auto"/>
      </w:pBdr>
      <w:tabs>
        <w:tab w:val="clear" w:pos="8306"/>
        <w:tab w:val="right" w:pos="9072"/>
      </w:tabs>
    </w:pPr>
    <w:r>
      <w:t xml:space="preserve">© </w:t>
    </w:r>
    <w:r w:rsidR="00CF1450">
      <w:t>Cambridge University Press 201</w:t>
    </w:r>
    <w:r w:rsidR="000407CA">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0407CA">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0407CA">
      <w:rPr>
        <w:rStyle w:val="PageNumber"/>
        <w:noProof/>
      </w:rPr>
      <w:t>3</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0776D" w14:textId="77777777" w:rsidR="000407CA" w:rsidRDefault="000407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C8D1F" w14:textId="77777777" w:rsidR="009B311E" w:rsidRDefault="009B311E">
      <w:r>
        <w:separator/>
      </w:r>
    </w:p>
  </w:footnote>
  <w:footnote w:type="continuationSeparator" w:id="0">
    <w:p w14:paraId="0BA152D5" w14:textId="77777777" w:rsidR="009B311E" w:rsidRDefault="009B3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AA0B8" w14:textId="77777777" w:rsidR="000407CA" w:rsidRDefault="000407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379BF"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2B0FC8C3" wp14:editId="1795AB8C">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173CB" w14:textId="77777777" w:rsidR="000407CA" w:rsidRDefault="000407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4400AB6"/>
    <w:multiLevelType w:val="hybridMultilevel"/>
    <w:tmpl w:val="29FCF75A"/>
    <w:lvl w:ilvl="0" w:tplc="AC108032">
      <w:start w:val="1"/>
      <w:numFmt w:val="lowerRoman"/>
      <w:lvlText w:val="(%1)"/>
      <w:lvlJc w:val="left"/>
      <w:pPr>
        <w:ind w:left="1080" w:hanging="720"/>
      </w:pPr>
      <w:rPr>
        <w:rFonts w:cs="Times New Roman" w:hint="default"/>
      </w:rPr>
    </w:lvl>
    <w:lvl w:ilvl="1" w:tplc="73643B32" w:tentative="1">
      <w:start w:val="1"/>
      <w:numFmt w:val="lowerLetter"/>
      <w:lvlText w:val="%2."/>
      <w:lvlJc w:val="left"/>
      <w:pPr>
        <w:ind w:left="1440" w:hanging="360"/>
      </w:pPr>
      <w:rPr>
        <w:rFonts w:cs="Times New Roman"/>
      </w:rPr>
    </w:lvl>
    <w:lvl w:ilvl="2" w:tplc="6D64F312" w:tentative="1">
      <w:start w:val="1"/>
      <w:numFmt w:val="lowerRoman"/>
      <w:lvlText w:val="%3."/>
      <w:lvlJc w:val="right"/>
      <w:pPr>
        <w:ind w:left="2160" w:hanging="180"/>
      </w:pPr>
      <w:rPr>
        <w:rFonts w:cs="Times New Roman"/>
      </w:rPr>
    </w:lvl>
    <w:lvl w:ilvl="3" w:tplc="8438C8BE" w:tentative="1">
      <w:start w:val="1"/>
      <w:numFmt w:val="decimal"/>
      <w:lvlText w:val="%4."/>
      <w:lvlJc w:val="left"/>
      <w:pPr>
        <w:ind w:left="2880" w:hanging="360"/>
      </w:pPr>
      <w:rPr>
        <w:rFonts w:cs="Times New Roman"/>
      </w:rPr>
    </w:lvl>
    <w:lvl w:ilvl="4" w:tplc="A7C23A4C" w:tentative="1">
      <w:start w:val="1"/>
      <w:numFmt w:val="lowerLetter"/>
      <w:lvlText w:val="%5."/>
      <w:lvlJc w:val="left"/>
      <w:pPr>
        <w:ind w:left="3600" w:hanging="360"/>
      </w:pPr>
      <w:rPr>
        <w:rFonts w:cs="Times New Roman"/>
      </w:rPr>
    </w:lvl>
    <w:lvl w:ilvl="5" w:tplc="03E2383A" w:tentative="1">
      <w:start w:val="1"/>
      <w:numFmt w:val="lowerRoman"/>
      <w:lvlText w:val="%6."/>
      <w:lvlJc w:val="right"/>
      <w:pPr>
        <w:ind w:left="4320" w:hanging="180"/>
      </w:pPr>
      <w:rPr>
        <w:rFonts w:cs="Times New Roman"/>
      </w:rPr>
    </w:lvl>
    <w:lvl w:ilvl="6" w:tplc="6E182A52" w:tentative="1">
      <w:start w:val="1"/>
      <w:numFmt w:val="decimal"/>
      <w:lvlText w:val="%7."/>
      <w:lvlJc w:val="left"/>
      <w:pPr>
        <w:ind w:left="5040" w:hanging="360"/>
      </w:pPr>
      <w:rPr>
        <w:rFonts w:cs="Times New Roman"/>
      </w:rPr>
    </w:lvl>
    <w:lvl w:ilvl="7" w:tplc="F8DA7598" w:tentative="1">
      <w:start w:val="1"/>
      <w:numFmt w:val="lowerLetter"/>
      <w:lvlText w:val="%8."/>
      <w:lvlJc w:val="left"/>
      <w:pPr>
        <w:ind w:left="5760" w:hanging="360"/>
      </w:pPr>
      <w:rPr>
        <w:rFonts w:cs="Times New Roman"/>
      </w:rPr>
    </w:lvl>
    <w:lvl w:ilvl="8" w:tplc="C666E2A4" w:tentative="1">
      <w:start w:val="1"/>
      <w:numFmt w:val="lowerRoman"/>
      <w:lvlText w:val="%9."/>
      <w:lvlJc w:val="right"/>
      <w:pPr>
        <w:ind w:left="6480" w:hanging="180"/>
      </w:pPr>
      <w:rPr>
        <w:rFonts w:cs="Times New Roman"/>
      </w:rPr>
    </w:lvl>
  </w:abstractNum>
  <w:abstractNum w:abstractNumId="3">
    <w:nsid w:val="45231C48"/>
    <w:multiLevelType w:val="hybridMultilevel"/>
    <w:tmpl w:val="AC12E196"/>
    <w:lvl w:ilvl="0" w:tplc="023272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937B38"/>
    <w:multiLevelType w:val="multilevel"/>
    <w:tmpl w:val="7FDED1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25851DD"/>
    <w:multiLevelType w:val="hybridMultilevel"/>
    <w:tmpl w:val="7CF8D17A"/>
    <w:lvl w:ilvl="0" w:tplc="7EDC41A8">
      <w:start w:val="1"/>
      <w:numFmt w:val="bullet"/>
      <w:pStyle w:val="Listbulletbody"/>
      <w:lvlText w:val=""/>
      <w:lvlJc w:val="left"/>
      <w:pPr>
        <w:tabs>
          <w:tab w:val="num" w:pos="720"/>
        </w:tabs>
        <w:ind w:left="720" w:hanging="360"/>
      </w:pPr>
      <w:rPr>
        <w:rFonts w:ascii="Symbol" w:hAnsi="Symbol" w:hint="default"/>
      </w:rPr>
    </w:lvl>
    <w:lvl w:ilvl="1" w:tplc="46C2CE40" w:tentative="1">
      <w:start w:val="1"/>
      <w:numFmt w:val="bullet"/>
      <w:lvlText w:val="o"/>
      <w:lvlJc w:val="left"/>
      <w:pPr>
        <w:tabs>
          <w:tab w:val="num" w:pos="1440"/>
        </w:tabs>
        <w:ind w:left="1440" w:hanging="360"/>
      </w:pPr>
      <w:rPr>
        <w:rFonts w:ascii="Courier New" w:hAnsi="Courier New" w:cs="Courier New" w:hint="default"/>
      </w:rPr>
    </w:lvl>
    <w:lvl w:ilvl="2" w:tplc="00003716" w:tentative="1">
      <w:start w:val="1"/>
      <w:numFmt w:val="bullet"/>
      <w:lvlText w:val=""/>
      <w:lvlJc w:val="left"/>
      <w:pPr>
        <w:tabs>
          <w:tab w:val="num" w:pos="2160"/>
        </w:tabs>
        <w:ind w:left="2160" w:hanging="360"/>
      </w:pPr>
      <w:rPr>
        <w:rFonts w:ascii="Wingdings" w:hAnsi="Wingdings" w:hint="default"/>
      </w:rPr>
    </w:lvl>
    <w:lvl w:ilvl="3" w:tplc="C1268024" w:tentative="1">
      <w:start w:val="1"/>
      <w:numFmt w:val="bullet"/>
      <w:lvlText w:val=""/>
      <w:lvlJc w:val="left"/>
      <w:pPr>
        <w:tabs>
          <w:tab w:val="num" w:pos="2880"/>
        </w:tabs>
        <w:ind w:left="2880" w:hanging="360"/>
      </w:pPr>
      <w:rPr>
        <w:rFonts w:ascii="Symbol" w:hAnsi="Symbol" w:hint="default"/>
      </w:rPr>
    </w:lvl>
    <w:lvl w:ilvl="4" w:tplc="849A9596" w:tentative="1">
      <w:start w:val="1"/>
      <w:numFmt w:val="bullet"/>
      <w:lvlText w:val="o"/>
      <w:lvlJc w:val="left"/>
      <w:pPr>
        <w:tabs>
          <w:tab w:val="num" w:pos="3600"/>
        </w:tabs>
        <w:ind w:left="3600" w:hanging="360"/>
      </w:pPr>
      <w:rPr>
        <w:rFonts w:ascii="Courier New" w:hAnsi="Courier New" w:cs="Courier New" w:hint="default"/>
      </w:rPr>
    </w:lvl>
    <w:lvl w:ilvl="5" w:tplc="3FE48574" w:tentative="1">
      <w:start w:val="1"/>
      <w:numFmt w:val="bullet"/>
      <w:lvlText w:val=""/>
      <w:lvlJc w:val="left"/>
      <w:pPr>
        <w:tabs>
          <w:tab w:val="num" w:pos="4320"/>
        </w:tabs>
        <w:ind w:left="4320" w:hanging="360"/>
      </w:pPr>
      <w:rPr>
        <w:rFonts w:ascii="Wingdings" w:hAnsi="Wingdings" w:hint="default"/>
      </w:rPr>
    </w:lvl>
    <w:lvl w:ilvl="6" w:tplc="1C06857A" w:tentative="1">
      <w:start w:val="1"/>
      <w:numFmt w:val="bullet"/>
      <w:lvlText w:val=""/>
      <w:lvlJc w:val="left"/>
      <w:pPr>
        <w:tabs>
          <w:tab w:val="num" w:pos="5040"/>
        </w:tabs>
        <w:ind w:left="5040" w:hanging="360"/>
      </w:pPr>
      <w:rPr>
        <w:rFonts w:ascii="Symbol" w:hAnsi="Symbol" w:hint="default"/>
      </w:rPr>
    </w:lvl>
    <w:lvl w:ilvl="7" w:tplc="2700A7C8" w:tentative="1">
      <w:start w:val="1"/>
      <w:numFmt w:val="bullet"/>
      <w:lvlText w:val="o"/>
      <w:lvlJc w:val="left"/>
      <w:pPr>
        <w:tabs>
          <w:tab w:val="num" w:pos="5760"/>
        </w:tabs>
        <w:ind w:left="5760" w:hanging="360"/>
      </w:pPr>
      <w:rPr>
        <w:rFonts w:ascii="Courier New" w:hAnsi="Courier New" w:cs="Courier New" w:hint="default"/>
      </w:rPr>
    </w:lvl>
    <w:lvl w:ilvl="8" w:tplc="38E8AA0C"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2"/>
  </w:num>
  <w:num w:numId="7">
    <w:abstractNumId w:val="1"/>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20528"/>
    <w:rsid w:val="000407CA"/>
    <w:rsid w:val="000554F0"/>
    <w:rsid w:val="00083F1F"/>
    <w:rsid w:val="00113667"/>
    <w:rsid w:val="0017633B"/>
    <w:rsid w:val="00181E7D"/>
    <w:rsid w:val="0019329D"/>
    <w:rsid w:val="001E53FD"/>
    <w:rsid w:val="002026B6"/>
    <w:rsid w:val="00213832"/>
    <w:rsid w:val="002746F9"/>
    <w:rsid w:val="00295E4C"/>
    <w:rsid w:val="002F6291"/>
    <w:rsid w:val="00382EB2"/>
    <w:rsid w:val="00593726"/>
    <w:rsid w:val="005B089F"/>
    <w:rsid w:val="005E6A01"/>
    <w:rsid w:val="005E6F51"/>
    <w:rsid w:val="006061D7"/>
    <w:rsid w:val="00634041"/>
    <w:rsid w:val="0065102D"/>
    <w:rsid w:val="00663570"/>
    <w:rsid w:val="00670D11"/>
    <w:rsid w:val="006C1B5E"/>
    <w:rsid w:val="007E3265"/>
    <w:rsid w:val="008A0617"/>
    <w:rsid w:val="008D5B74"/>
    <w:rsid w:val="009A3950"/>
    <w:rsid w:val="009B311E"/>
    <w:rsid w:val="009F2AA1"/>
    <w:rsid w:val="00A37865"/>
    <w:rsid w:val="00A517E7"/>
    <w:rsid w:val="00A66091"/>
    <w:rsid w:val="00AC2E34"/>
    <w:rsid w:val="00BF56B7"/>
    <w:rsid w:val="00C4347E"/>
    <w:rsid w:val="00C76AC8"/>
    <w:rsid w:val="00C920E4"/>
    <w:rsid w:val="00CC2500"/>
    <w:rsid w:val="00CF1450"/>
    <w:rsid w:val="00E355C1"/>
    <w:rsid w:val="00E65232"/>
    <w:rsid w:val="00F13028"/>
    <w:rsid w:val="00F15EB4"/>
    <w:rsid w:val="00F3382B"/>
    <w:rsid w:val="00F419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F79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table" w:styleId="TableGrid">
    <w:name w:val="Table Grid"/>
    <w:basedOn w:val="TableNormal"/>
    <w:rsid w:val="00020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table" w:styleId="TableGrid">
    <w:name w:val="Table Grid"/>
    <w:basedOn w:val="TableNormal"/>
    <w:rsid w:val="00020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3</Pages>
  <Words>721</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2014-09-02T16:02:00Z</cp:lastPrinted>
  <dcterms:created xsi:type="dcterms:W3CDTF">2014-10-01T14:14:00Z</dcterms:created>
  <dcterms:modified xsi:type="dcterms:W3CDTF">2014-10-23T09:27:00Z</dcterms:modified>
</cp:coreProperties>
</file>